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AA" w:rsidRPr="005A50D2" w:rsidRDefault="00CC55AA" w:rsidP="005A50D2">
      <w:pPr>
        <w:tabs>
          <w:tab w:val="center" w:pos="4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36"/>
          <w:szCs w:val="24"/>
          <w:lang w:val="es-ES_tradnl"/>
        </w:rPr>
      </w:pPr>
      <w:bookmarkStart w:id="0" w:name="_Toc78005433"/>
      <w:r w:rsidRPr="00476FA1">
        <w:rPr>
          <w:rFonts w:ascii="Times New Roman" w:eastAsia="Times New Roman" w:hAnsi="Times New Roman" w:cs="Times New Roman"/>
          <w:b/>
          <w:spacing w:val="-3"/>
          <w:sz w:val="36"/>
          <w:szCs w:val="24"/>
          <w:lang w:val="es-ES_tradnl"/>
        </w:rPr>
        <w:t>CONTRATO DE SERVICIOS DE CONSULTORÍA</w:t>
      </w:r>
    </w:p>
    <w:p w:rsidR="00476FA1" w:rsidRPr="00476FA1" w:rsidRDefault="00476FA1" w:rsidP="00755DA4">
      <w:pPr>
        <w:keepNext/>
        <w:keepLines/>
        <w:spacing w:before="200"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</w:pPr>
      <w:r w:rsidRPr="00476FA1"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  <w:t>CONTRATO</w:t>
      </w:r>
      <w:bookmarkEnd w:id="0"/>
      <w:r w:rsidRPr="00476FA1"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  <w:t xml:space="preserve"> No</w:t>
      </w:r>
      <w:r w:rsidR="00882D82"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  <w:t>.</w:t>
      </w:r>
      <w:r w:rsidR="00ED2D51"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  <w:t xml:space="preserve"> </w:t>
      </w:r>
      <w:r w:rsidR="007A70CC" w:rsidRPr="007A70CC"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  <w:t>XX</w:t>
      </w:r>
      <w:r w:rsidR="00A97B7D" w:rsidRPr="007A70CC">
        <w:rPr>
          <w:rFonts w:ascii="Times New Roman" w:eastAsia="Times New Roman" w:hAnsi="Times New Roman" w:cs="Times New Roman"/>
          <w:b/>
          <w:bCs/>
          <w:sz w:val="28"/>
          <w:szCs w:val="24"/>
          <w:lang w:val="es-ES_tradnl"/>
        </w:rPr>
        <w:t>-2018</w:t>
      </w:r>
    </w:p>
    <w:p w:rsidR="00476FA1" w:rsidRPr="00476FA1" w:rsidRDefault="00476FA1" w:rsidP="005D325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ESTE CONTRA</w:t>
      </w:r>
      <w:r w:rsidR="00882D8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TO (el “Contrato”) se celebra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D6146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el </w:t>
      </w:r>
      <w:r w:rsidR="007B5AF9" w:rsidRPr="008650C0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quince</w:t>
      </w:r>
      <w:r w:rsidR="008F0FC8" w:rsidRPr="008650C0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de agosto</w:t>
      </w:r>
      <w:r w:rsidR="00882D8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de dos mil diecisiete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, entre</w:t>
      </w:r>
      <w:r w:rsidR="00882D8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la Asociación Sotz’il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882D8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(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el “Contratante”), con domicilio social en </w:t>
      </w:r>
      <w:r w:rsidR="007B5AF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cuart</w:t>
      </w:r>
      <w:r w:rsidR="00882D8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o (4º.) pasaje casa uno </w:t>
      </w:r>
      <w:r w:rsidR="008904FF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guion</w:t>
      </w:r>
      <w:r w:rsidR="00882D8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doscientos veintidós (1-222) Colonia San Rafael zona dos (2), Chimaltenango, Guatemala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y </w:t>
      </w:r>
      <w:r w:rsidR="00D63728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</w:t>
      </w:r>
      <w:r w:rsidR="001C2FB5">
        <w:rPr>
          <w:rFonts w:ascii="Times New Roman" w:hAnsi="Times New Roman" w:cs="Times New Roman"/>
          <w:sz w:val="24"/>
          <w:szCs w:val="24"/>
          <w:lang w:val="es-GT"/>
        </w:rPr>
        <w:t xml:space="preserve">l señor </w:t>
      </w:r>
      <w:r w:rsidR="001A7DD5">
        <w:rPr>
          <w:rFonts w:ascii="Times New Roman" w:hAnsi="Times New Roman" w:cs="Times New Roman"/>
          <w:sz w:val="24"/>
          <w:szCs w:val="24"/>
          <w:lang w:val="es-GT"/>
        </w:rPr>
        <w:t xml:space="preserve">XXXX XXXXX XXX </w:t>
      </w:r>
      <w:proofErr w:type="spellStart"/>
      <w:r w:rsidR="001A7DD5">
        <w:rPr>
          <w:rFonts w:ascii="Times New Roman" w:hAnsi="Times New Roman" w:cs="Times New Roman"/>
          <w:sz w:val="24"/>
          <w:szCs w:val="24"/>
          <w:lang w:val="es-GT"/>
        </w:rPr>
        <w:t>XXX</w:t>
      </w:r>
      <w:proofErr w:type="spellEnd"/>
      <w:r w:rsidR="001A7DD5">
        <w:rPr>
          <w:rFonts w:ascii="Times New Roman" w:hAnsi="Times New Roman" w:cs="Times New Roman"/>
          <w:sz w:val="24"/>
          <w:szCs w:val="24"/>
          <w:lang w:val="es-GT"/>
        </w:rPr>
        <w:t xml:space="preserve"> </w:t>
      </w:r>
      <w:r w:rsidR="00D6146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(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“</w:t>
      </w:r>
      <w:r w:rsidR="000359DF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El Consultor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”), </w:t>
      </w:r>
      <w:r w:rsidRPr="00FA2A90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cuya </w:t>
      </w:r>
      <w:r w:rsidR="00882D82" w:rsidRPr="00FA2A90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dirección</w:t>
      </w:r>
      <w:r w:rsidRPr="00FA2A90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principal está ubicada en</w:t>
      </w:r>
      <w:r w:rsidR="00EF7C2E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1A7DD5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XXXXXXXXXXXX</w:t>
      </w:r>
      <w:r w:rsidR="005D325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.</w:t>
      </w: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CONSIDERANDO QUE el Contratante tiene interés en que </w:t>
      </w:r>
      <w:r w:rsidR="000359DF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l </w:t>
      </w:r>
      <w:r w:rsidR="000359DF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Consultor 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preste los servicios que se señalan a continuación, y</w:t>
      </w: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CONSIDERANDO QUE </w:t>
      </w:r>
      <w:r w:rsidR="000359DF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El Consultor</w:t>
      </w: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está dispuesto a prestar dichos servicios,</w:t>
      </w: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476FA1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POR LO TANTO, LAS PARTES convienen en lo siguiente:</w:t>
      </w:r>
    </w:p>
    <w:p w:rsidR="00476FA1" w:rsidRPr="00476FA1" w:rsidRDefault="00476FA1" w:rsidP="00476F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tbl>
      <w:tblPr>
        <w:tblStyle w:val="Tablaconcuadrcula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5692"/>
      </w:tblGrid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1" w:name="_Toc78005434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1.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Servicios</w:t>
            </w:r>
            <w:bookmarkEnd w:id="1"/>
          </w:p>
        </w:tc>
        <w:tc>
          <w:tcPr>
            <w:tcW w:w="5692" w:type="dxa"/>
          </w:tcPr>
          <w:p w:rsidR="00476FA1" w:rsidRPr="00476FA1" w:rsidRDefault="00476FA1" w:rsidP="00476FA1">
            <w:pPr>
              <w:tabs>
                <w:tab w:val="left" w:pos="-720"/>
                <w:tab w:val="left" w:pos="1242"/>
              </w:tabs>
              <w:suppressAutoHyphens/>
              <w:spacing w:after="200"/>
              <w:ind w:left="1242" w:hanging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(i)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  <w:t xml:space="preserve">El </w:t>
            </w:r>
            <w:r w:rsidR="000359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="00D614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prestará los servicios (los “Servicios”) </w:t>
            </w:r>
            <w:r w:rsidR="001949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que se especifican en el Anexo I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, “Términos de referencia y alcance de los Servicios”, que forma parte integral de este Contrato.</w:t>
            </w:r>
          </w:p>
          <w:p w:rsidR="00476FA1" w:rsidRPr="00476FA1" w:rsidRDefault="00476FA1" w:rsidP="00985764">
            <w:pPr>
              <w:tabs>
                <w:tab w:val="left" w:pos="-720"/>
                <w:tab w:val="left" w:pos="1242"/>
              </w:tabs>
              <w:suppressAutoHyphens/>
              <w:spacing w:after="200"/>
              <w:ind w:left="1242" w:hanging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(ii)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  <w:t xml:space="preserve">El </w:t>
            </w:r>
            <w:r w:rsidR="000359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presentará los </w:t>
            </w:r>
            <w:r w:rsidR="009857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informes</w:t>
            </w:r>
            <w:r w:rsidR="00E322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al Contratante en la forma </w:t>
            </w:r>
            <w:r w:rsidR="00882D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indicada en </w:t>
            </w:r>
            <w:r w:rsidR="00E322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332C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numeral III</w:t>
            </w:r>
            <w:r w:rsidR="00E322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="00882D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de los “Términos de referencia”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2" w:name="_Toc78005435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2.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Plazo</w:t>
            </w:r>
            <w:bookmarkEnd w:id="2"/>
          </w:p>
        </w:tc>
        <w:tc>
          <w:tcPr>
            <w:tcW w:w="5692" w:type="dxa"/>
          </w:tcPr>
          <w:p w:rsidR="00476FA1" w:rsidRPr="00476FA1" w:rsidRDefault="00476FA1" w:rsidP="00EF7C2E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E322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prestará los Servicios durante el período que se iniciará el 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doce</w:t>
            </w:r>
            <w:r w:rsidR="00882D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(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12</w:t>
            </w:r>
            <w:r w:rsidR="00882D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) de 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febrero de dos mil dieciocho (2018</w:t>
            </w:r>
            <w:r w:rsidR="00882D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)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hasta el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once</w:t>
            </w:r>
            <w:r w:rsidR="009F73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="005A50D2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(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11</w:t>
            </w:r>
            <w:r w:rsidR="005A50D2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)</w:t>
            </w:r>
            <w:r w:rsidR="005C75AF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de 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abril</w:t>
            </w:r>
            <w:r w:rsidR="009F73E8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de </w:t>
            </w:r>
            <w:r w:rsidR="005A50D2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dos mil dieciocho (</w:t>
            </w:r>
            <w:r w:rsidR="009F73E8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2018</w:t>
            </w:r>
            <w:r w:rsidR="005A50D2" w:rsidRPr="00E433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)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, o durante cualquier otro período en que las Partes pudieran convenir posteriormente por escrito.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3" w:name="_Toc78005436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3.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Pagos</w:t>
            </w:r>
            <w:bookmarkEnd w:id="3"/>
          </w:p>
        </w:tc>
        <w:tc>
          <w:tcPr>
            <w:tcW w:w="5692" w:type="dxa"/>
          </w:tcPr>
          <w:p w:rsidR="00476FA1" w:rsidRPr="00476FA1" w:rsidRDefault="00476FA1" w:rsidP="00476FA1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200"/>
              <w:ind w:left="1440" w:hanging="144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A.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>Monto máximo</w:t>
            </w:r>
          </w:p>
          <w:p w:rsidR="00476FA1" w:rsidRPr="00476FA1" w:rsidRDefault="00E32225" w:rsidP="00AB0484">
            <w:pPr>
              <w:tabs>
                <w:tab w:val="left" w:pos="-720"/>
              </w:tabs>
              <w:suppressAutoHyphens/>
              <w:spacing w:after="200"/>
              <w:ind w:left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Contratante pagará a El Consultor </w:t>
            </w:r>
            <w:r w:rsidR="00F070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una suma no superior a XXXX </w:t>
            </w:r>
            <w:r w:rsidR="009F73E8" w:rsidRPr="001A7D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USD</w:t>
            </w:r>
            <w:r w:rsidR="00476FA1"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por los Servicios prestados conf</w:t>
            </w:r>
            <w:r w:rsidR="001949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orme a lo indicado en el Anexo I</w:t>
            </w:r>
            <w:r w:rsidR="00476FA1"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.  Dicha suma ha sido establecida en el entendido de que incluye todo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s los costos y utilidades para E</w:t>
            </w:r>
            <w:r w:rsidR="00476FA1"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="00476FA1"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, así como cualquier obligación tributaria a que éste pudiera estar sujeto.</w:t>
            </w:r>
          </w:p>
          <w:p w:rsidR="00476FA1" w:rsidRPr="00476FA1" w:rsidRDefault="00476FA1" w:rsidP="00476FA1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200"/>
              <w:ind w:left="1440" w:hanging="144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B.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>Calendario de pagos</w:t>
            </w:r>
          </w:p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180"/>
              <w:ind w:left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calendario de pagos será el siguiente:</w:t>
            </w:r>
          </w:p>
          <w:p w:rsidR="0017711D" w:rsidRDefault="00EF7C2E" w:rsidP="0017711D">
            <w:pPr>
              <w:ind w:left="720"/>
              <w:jc w:val="both"/>
              <w:rPr>
                <w:rFonts w:ascii="Times New Roman" w:eastAsia="Adobe Heiti Std R" w:hAnsi="Times New Roman" w:cs="Times New Roman"/>
                <w:sz w:val="24"/>
                <w:szCs w:val="24"/>
                <w:lang w:val="es-GT"/>
              </w:rPr>
            </w:pPr>
            <w:r>
              <w:rPr>
                <w:rFonts w:ascii="Times New Roman" w:eastAsia="Adobe Heiti Std R" w:hAnsi="Times New Roman" w:cs="Times New Roman"/>
                <w:sz w:val="24"/>
                <w:szCs w:val="24"/>
                <w:lang w:val="es-ES_tradnl"/>
              </w:rPr>
              <w:t>Se realizará en dos</w:t>
            </w:r>
            <w:r w:rsidR="00577223">
              <w:rPr>
                <w:rFonts w:ascii="Times New Roman" w:eastAsia="Adobe Heiti Std R" w:hAnsi="Times New Roman" w:cs="Times New Roman"/>
                <w:sz w:val="24"/>
                <w:szCs w:val="24"/>
                <w:lang w:val="es-ES_tradnl"/>
              </w:rPr>
              <w:t xml:space="preserve"> momentos, siendo el primer </w:t>
            </w:r>
            <w:r w:rsidR="00577223">
              <w:rPr>
                <w:rFonts w:ascii="Times New Roman" w:eastAsia="Adobe Heiti Std R" w:hAnsi="Times New Roman" w:cs="Times New Roman"/>
                <w:sz w:val="24"/>
                <w:szCs w:val="24"/>
                <w:lang w:val="es-ES_tradnl"/>
              </w:rPr>
              <w:lastRenderedPageBreak/>
              <w:t xml:space="preserve">pago por la cantidad de </w:t>
            </w:r>
            <w:r w:rsidR="00F070DA" w:rsidRPr="00F070DA">
              <w:rPr>
                <w:rFonts w:ascii="Times New Roman" w:eastAsia="Adobe Heiti Std R" w:hAnsi="Times New Roman" w:cs="Times New Roman"/>
                <w:sz w:val="24"/>
                <w:szCs w:val="24"/>
                <w:lang w:val="es-ES_tradnl"/>
              </w:rPr>
              <w:t>XXXX</w:t>
            </w:r>
            <w:r w:rsidR="00577223" w:rsidRPr="00F070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USD</w:t>
            </w:r>
            <w:r w:rsidR="00A97B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que corresponden al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5</w:t>
            </w:r>
            <w:r w:rsidR="00A97B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0</w:t>
            </w:r>
            <w:r w:rsidR="005772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% de la consultoría,</w:t>
            </w:r>
            <w:r w:rsidR="00577223" w:rsidRPr="00482350"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r w:rsidR="008D3A41">
              <w:rPr>
                <w:rFonts w:ascii="Times New Roman" w:hAnsi="Times New Roman" w:cs="Times New Roman"/>
                <w:sz w:val="24"/>
                <w:lang w:val="es-ES"/>
              </w:rPr>
              <w:t xml:space="preserve">y un </w:t>
            </w:r>
            <w:r w:rsidR="00577223">
              <w:rPr>
                <w:rFonts w:ascii="Times New Roman" w:eastAsia="Adobe Heiti Std R" w:hAnsi="Times New Roman" w:cs="Times New Roman"/>
                <w:sz w:val="24"/>
                <w:szCs w:val="24"/>
                <w:lang w:val="es-ES_tradnl"/>
              </w:rPr>
              <w:t xml:space="preserve">segundo pago por la cantidad de </w:t>
            </w:r>
            <w:r w:rsidR="00F070DA" w:rsidRPr="00F070DA">
              <w:rPr>
                <w:rFonts w:ascii="Times New Roman" w:eastAsia="Adobe Heiti Std R" w:hAnsi="Times New Roman" w:cs="Times New Roman"/>
                <w:sz w:val="24"/>
                <w:szCs w:val="24"/>
                <w:lang w:val="es-ES_tradnl"/>
              </w:rPr>
              <w:t>XXXX</w:t>
            </w:r>
            <w:r w:rsidR="00577223" w:rsidRPr="00F070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USD</w:t>
            </w:r>
            <w:r w:rsidR="00A97B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que corresponden al 50%</w:t>
            </w:r>
            <w:r w:rsidR="005772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de la consultoría</w:t>
            </w:r>
            <w:r w:rsidR="00026853" w:rsidRPr="00482350">
              <w:rPr>
                <w:rFonts w:ascii="Times New Roman" w:eastAsia="Adobe Heiti Std R" w:hAnsi="Times New Roman" w:cs="Times New Roman"/>
                <w:sz w:val="28"/>
                <w:szCs w:val="24"/>
                <w:lang w:val="es-ES_tradnl"/>
              </w:rPr>
              <w:t xml:space="preserve">. </w:t>
            </w:r>
            <w:r w:rsidR="00026853" w:rsidRPr="00D6146C">
              <w:rPr>
                <w:rFonts w:ascii="Times New Roman" w:eastAsia="Adobe Heiti Std R" w:hAnsi="Times New Roman" w:cs="Times New Roman"/>
                <w:sz w:val="24"/>
                <w:szCs w:val="24"/>
                <w:lang w:val="es-GT"/>
              </w:rPr>
              <w:t>Sotz’il</w:t>
            </w:r>
            <w:r w:rsidR="0017711D" w:rsidRPr="00D6146C">
              <w:rPr>
                <w:rFonts w:ascii="Times New Roman" w:eastAsia="Adobe Heiti Std R" w:hAnsi="Times New Roman" w:cs="Times New Roman"/>
                <w:sz w:val="24"/>
                <w:szCs w:val="24"/>
                <w:lang w:val="es-GT"/>
              </w:rPr>
              <w:t xml:space="preserve"> se encargará de hacer llegar toda la información oportunamente que sea necesaria para el buen funcionamiento de</w:t>
            </w:r>
            <w:r w:rsidR="005E00DB">
              <w:rPr>
                <w:rFonts w:ascii="Times New Roman" w:eastAsia="Adobe Heiti Std R" w:hAnsi="Times New Roman" w:cs="Times New Roman"/>
                <w:sz w:val="24"/>
                <w:szCs w:val="24"/>
                <w:lang w:val="es-GT"/>
              </w:rPr>
              <w:t xml:space="preserve"> El Consultor</w:t>
            </w:r>
            <w:r w:rsidR="0017711D" w:rsidRPr="00D6146C">
              <w:rPr>
                <w:rFonts w:ascii="Times New Roman" w:eastAsia="Adobe Heiti Std R" w:hAnsi="Times New Roman" w:cs="Times New Roman"/>
                <w:sz w:val="24"/>
                <w:szCs w:val="24"/>
                <w:lang w:val="es-GT"/>
              </w:rPr>
              <w:t>.</w:t>
            </w:r>
          </w:p>
          <w:p w:rsidR="002322B5" w:rsidRPr="00D6146C" w:rsidRDefault="002322B5" w:rsidP="0017711D">
            <w:pPr>
              <w:ind w:left="720"/>
              <w:jc w:val="both"/>
              <w:rPr>
                <w:rFonts w:ascii="Times New Roman" w:eastAsia="Adobe Heiti Std R" w:hAnsi="Times New Roman" w:cs="Times New Roman"/>
                <w:sz w:val="24"/>
                <w:szCs w:val="24"/>
                <w:lang w:val="es-GT"/>
              </w:rPr>
            </w:pPr>
          </w:p>
          <w:p w:rsidR="00476FA1" w:rsidRPr="00476FA1" w:rsidRDefault="00476FA1" w:rsidP="00476FA1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180"/>
              <w:ind w:left="1440" w:hanging="144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C.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 xml:space="preserve">Condiciones de pago  </w:t>
            </w:r>
          </w:p>
          <w:p w:rsidR="00476FA1" w:rsidRDefault="00476FA1" w:rsidP="00476FA1">
            <w:pPr>
              <w:tabs>
                <w:tab w:val="left" w:pos="-720"/>
              </w:tabs>
              <w:suppressAutoHyphens/>
              <w:spacing w:after="200"/>
              <w:ind w:left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Los pagos se efectuarán en</w:t>
            </w:r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dólares</w:t>
            </w:r>
            <w:r w:rsidR="009F73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,</w:t>
            </w:r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dentro de los</w:t>
            </w:r>
            <w:r w:rsidR="009F73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5 días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contados a partir de la presentación por </w:t>
            </w:r>
            <w:r w:rsidR="00026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Consultor</w:t>
            </w:r>
            <w:r w:rsidR="00711F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de las facturas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al Coordinador designado en el </w:t>
            </w:r>
            <w:r w:rsidR="00E33B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numeral </w:t>
            </w:r>
            <w:r w:rsidR="008650C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4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.</w:t>
            </w:r>
          </w:p>
          <w:p w:rsidR="005C752C" w:rsidRPr="00476FA1" w:rsidRDefault="005C752C" w:rsidP="00476FA1">
            <w:pPr>
              <w:tabs>
                <w:tab w:val="left" w:pos="-720"/>
              </w:tabs>
              <w:suppressAutoHyphens/>
              <w:spacing w:after="200"/>
              <w:ind w:left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Los pagos se efectuaran</w:t>
            </w:r>
            <w:r w:rsidR="005117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contra el cumplimiento de 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horas presenciales de docencia y </w:t>
            </w:r>
            <w:r w:rsidR="005117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horas de preparación de módulos según tema asignado y aprobado por la coordinación y gerencia del diplomado.</w:t>
            </w:r>
          </w:p>
          <w:p w:rsidR="00476FA1" w:rsidRPr="00476FA1" w:rsidRDefault="00476FA1" w:rsidP="00026853">
            <w:pPr>
              <w:tabs>
                <w:tab w:val="left" w:pos="-720"/>
              </w:tabs>
              <w:suppressAutoHyphens/>
              <w:spacing w:after="200"/>
              <w:ind w:left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Los pagos se efectuaran</w:t>
            </w:r>
            <w:r w:rsidR="009F73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contra entrega de cheque </w:t>
            </w:r>
            <w:r w:rsidR="00EF7C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Boucher</w:t>
            </w:r>
            <w:r w:rsidR="00026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y firma de El</w:t>
            </w:r>
            <w:r w:rsidR="00C378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="00026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</w:t>
            </w:r>
            <w:r w:rsidR="00C378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onsultor.</w:t>
            </w:r>
            <w:r w:rsidR="001030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4" w:name="_Toc78005437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lastRenderedPageBreak/>
              <w:t>4.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Administración del Proyecto</w:t>
            </w:r>
            <w:bookmarkEnd w:id="4"/>
          </w:p>
        </w:tc>
        <w:tc>
          <w:tcPr>
            <w:tcW w:w="5692" w:type="dxa"/>
          </w:tcPr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A. 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>Coordinador</w:t>
            </w:r>
          </w:p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200"/>
              <w:ind w:left="72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Contratante designa a</w:t>
            </w:r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l</w:t>
            </w:r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Sr</w:t>
            </w:r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it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</w:t>
            </w:r>
            <w:proofErr w:type="spellEnd"/>
            <w:r w:rsidR="009F73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. </w:t>
            </w:r>
            <w:proofErr w:type="spellStart"/>
            <w:r w:rsidR="000C3F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Yeshing</w:t>
            </w:r>
            <w:proofErr w:type="spellEnd"/>
            <w:r w:rsidR="000C3F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Juliana </w:t>
            </w:r>
            <w:proofErr w:type="spellStart"/>
            <w:r w:rsidR="000C3F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Upú</w:t>
            </w:r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n</w:t>
            </w:r>
            <w:proofErr w:type="spellEnd"/>
            <w:r w:rsidR="002809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Yos</w:t>
            </w:r>
            <w:r w:rsidR="009F73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,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como Coordinador(a) del Contratante, quien será responsable de la coordinación de las actividades contempladas en este Contrato, la aceptación y aprobación por parte del Contratante de los informes u otros elementos que deban proporcionarse, y la recepción y aprobación de las facturas para cursar los pagos.</w:t>
            </w:r>
          </w:p>
          <w:p w:rsidR="00476FA1" w:rsidRPr="00476FA1" w:rsidRDefault="00476FA1" w:rsidP="00476FA1">
            <w:pPr>
              <w:tabs>
                <w:tab w:val="left" w:pos="-720"/>
                <w:tab w:val="left" w:pos="702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B.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ab/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>Informes</w:t>
            </w:r>
          </w:p>
          <w:p w:rsidR="00476FA1" w:rsidRPr="00476FA1" w:rsidRDefault="00476FA1" w:rsidP="00985764">
            <w:pPr>
              <w:tabs>
                <w:tab w:val="left" w:pos="-720"/>
                <w:tab w:val="left" w:pos="702"/>
              </w:tabs>
              <w:suppressAutoHyphens/>
              <w:spacing w:after="200"/>
              <w:ind w:left="70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Los informes enumerados en el Anexo </w:t>
            </w:r>
            <w:r w:rsidR="009857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I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, “</w:t>
            </w:r>
            <w:r w:rsidR="00A804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Términos de Referencia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”, deberán ser presentados durante el desarrollo de las actividades asignadas, y constituirán la base para los pagos que deberán efectuarse conforme a lo indicado en el </w:t>
            </w:r>
            <w:r w:rsidR="00E33B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numeral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3.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5" w:name="_Toc78005438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5.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Calidad de los Servicios</w:t>
            </w:r>
            <w:bookmarkEnd w:id="5"/>
          </w:p>
        </w:tc>
        <w:tc>
          <w:tcPr>
            <w:tcW w:w="5692" w:type="dxa"/>
          </w:tcPr>
          <w:p w:rsidR="00476FA1" w:rsidRPr="00476FA1" w:rsidRDefault="00476FA1" w:rsidP="00026853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026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se compromete a prestar los Servicios de acuerdo con las normas más elevadas de competencia e integridad ética y profesional.  </w:t>
            </w:r>
            <w:r w:rsidRPr="000F11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0268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0F11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deberá reemplazar sin demora a cualquier </w:t>
            </w:r>
            <w:r w:rsidR="002F199A" w:rsidRPr="000F11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colaborador</w:t>
            </w:r>
            <w:r w:rsidRPr="000F11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que haya </w:t>
            </w:r>
            <w:r w:rsidRPr="000F11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lastRenderedPageBreak/>
              <w:t>sido asignado a un trabajo en virtud de este Contrato cuyo desempeño sea considerado insatisfactorio por el Contratante.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lastRenderedPageBreak/>
              <w:t>6.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Inspecciones y Auditorias</w:t>
            </w:r>
          </w:p>
        </w:tc>
        <w:tc>
          <w:tcPr>
            <w:tcW w:w="5692" w:type="dxa"/>
          </w:tcPr>
          <w:p w:rsidR="00476FA1" w:rsidRPr="00476FA1" w:rsidRDefault="00476FA1" w:rsidP="00C17412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CO"/>
              </w:rPr>
              <w:t xml:space="preserve">El </w:t>
            </w:r>
            <w:r w:rsidR="00C17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CO"/>
              </w:rPr>
              <w:t xml:space="preserve"> permitirá, que el Banco y/o las personas designadas por el Banco inspeccionen o realicen las auditorías de las cuentas y registros contables relacionados con el proceso de selección y la ejecución del contrato. El no cumplimiento del mencionado requerimiento podrá </w:t>
            </w:r>
            <w:r w:rsidRPr="00476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/>
              </w:rPr>
              <w:t>constituir una práctica prohibida que resulte en la terminación del contrato (al igual que en la declaración de inelegibilidad) de conformidad con los procedimientos vigentes de sanciones del Banco.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6" w:name="_Toc78005439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7.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Confidenciali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softHyphen/>
              <w:t>dad</w:t>
            </w:r>
            <w:bookmarkEnd w:id="6"/>
          </w:p>
        </w:tc>
        <w:tc>
          <w:tcPr>
            <w:tcW w:w="5692" w:type="dxa"/>
          </w:tcPr>
          <w:p w:rsidR="00476FA1" w:rsidRPr="00476FA1" w:rsidRDefault="00476FA1" w:rsidP="00C17412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Durante la vigencia de este Contrato y dentro de los dos años siguientes a su término, </w:t>
            </w:r>
            <w:r w:rsidR="00C174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Consultor</w:t>
            </w:r>
            <w:r w:rsidR="000C3F33"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no podrá revelar ninguna información confidencial o de propiedad del Contratante relacionada con los Servicios, este Contrato o las actividades u operaciones del Contratante sin el consentimiento previo por escrito de este último.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7" w:name="_Toc78005440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8.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Propiedad de los Materiales</w:t>
            </w:r>
            <w:bookmarkEnd w:id="7"/>
          </w:p>
        </w:tc>
        <w:tc>
          <w:tcPr>
            <w:tcW w:w="5692" w:type="dxa"/>
          </w:tcPr>
          <w:p w:rsidR="00476FA1" w:rsidRPr="00476FA1" w:rsidRDefault="00476FA1" w:rsidP="004B101F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Todos los estudios, informes, gráficos, programas de computación u otros materiales preparados por </w:t>
            </w:r>
            <w:r w:rsidR="004B101F"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Consultor</w:t>
            </w:r>
            <w:r w:rsidR="000C3F33"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</w:t>
            </w:r>
            <w:r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para el Contratante en virtud de este Contrato serán de propiedad del Contratante.  El </w:t>
            </w:r>
            <w:r w:rsidR="004B101F"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podrá conservar una copia de dichos documentos y programas de computación</w:t>
            </w:r>
            <w:r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val="es-ES_tradnl"/>
              </w:rPr>
              <w:footnoteReference w:customMarkFollows="1" w:id="1"/>
              <w:t>2</w:t>
            </w:r>
            <w:r w:rsidRPr="008D3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8" w:name="_Toc78005441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9.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Prohibición al Consultor de Participar en Ciertas Actividades</w:t>
            </w:r>
            <w:bookmarkEnd w:id="8"/>
          </w:p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692" w:type="dxa"/>
          </w:tcPr>
          <w:p w:rsidR="00476FA1" w:rsidRPr="00476FA1" w:rsidRDefault="00476FA1" w:rsidP="004B101F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4B10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conviene en que, tanto durante la vigencia de este Contrato como después de su terminación, ni </w:t>
            </w:r>
            <w:r w:rsidR="004B10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ni ninguna entidad afiliada a éste podrá suministrar bienes, construir obras o prestar servicios (distintos de los Servicios y de cualquier continuación de los mismos) para cualquier proyecto que se derive de los Servicios o esté estrechamente relacionado con ellos.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9" w:name="_Toc78005442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10.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Seguros</w:t>
            </w:r>
            <w:bookmarkEnd w:id="9"/>
          </w:p>
        </w:tc>
        <w:tc>
          <w:tcPr>
            <w:tcW w:w="5692" w:type="dxa"/>
          </w:tcPr>
          <w:p w:rsidR="00476FA1" w:rsidRPr="00476FA1" w:rsidRDefault="00476FA1" w:rsidP="004B101F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4B10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será responsable de contratar los seguros pertinentes.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10" w:name="_Toc78005443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11.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Cesión</w:t>
            </w:r>
            <w:bookmarkEnd w:id="10"/>
          </w:p>
        </w:tc>
        <w:tc>
          <w:tcPr>
            <w:tcW w:w="5692" w:type="dxa"/>
          </w:tcPr>
          <w:p w:rsidR="00476FA1" w:rsidRPr="00476FA1" w:rsidRDefault="00476FA1" w:rsidP="004B101F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El </w:t>
            </w:r>
            <w:r w:rsidR="004B10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no podrá ceder este Contrato o subcontratar ninguna parte del mismo, sin el consentimiento previo por escrito del Contratante.</w:t>
            </w:r>
          </w:p>
        </w:tc>
      </w:tr>
      <w:tr w:rsidR="00476FA1" w:rsidRPr="00C674CF" w:rsidTr="000E4286">
        <w:trPr>
          <w:trHeight w:val="80"/>
        </w:trPr>
        <w:tc>
          <w:tcPr>
            <w:tcW w:w="3236" w:type="dxa"/>
          </w:tcPr>
          <w:p w:rsidR="00476FA1" w:rsidRPr="00476FA1" w:rsidRDefault="00476FA1" w:rsidP="00ED2D5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11" w:name="_Toc78005444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12.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Ley e Idioma por los que se Regirá el Contrato</w:t>
            </w:r>
            <w:bookmarkEnd w:id="11"/>
          </w:p>
        </w:tc>
        <w:tc>
          <w:tcPr>
            <w:tcW w:w="5692" w:type="dxa"/>
          </w:tcPr>
          <w:p w:rsidR="00476FA1" w:rsidRPr="00476FA1" w:rsidRDefault="00476FA1" w:rsidP="00CD0375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El Contrato se regirá por las leyes de</w:t>
            </w:r>
            <w:r w:rsidR="00CD03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Guatemala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, y el idioma del Contrato será</w:t>
            </w:r>
            <w:r w:rsidR="00CD03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en español.</w:t>
            </w:r>
          </w:p>
        </w:tc>
      </w:tr>
      <w:tr w:rsidR="00476FA1" w:rsidRPr="00C674CF" w:rsidTr="000E4286">
        <w:trPr>
          <w:trHeight w:val="545"/>
        </w:trPr>
        <w:tc>
          <w:tcPr>
            <w:tcW w:w="3236" w:type="dxa"/>
          </w:tcPr>
          <w:p w:rsidR="00476FA1" w:rsidRPr="00476FA1" w:rsidRDefault="00476FA1" w:rsidP="00ED2D51">
            <w:pPr>
              <w:pageBreakBefore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bookmarkStart w:id="12" w:name="_Toc78005445"/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lastRenderedPageBreak/>
              <w:t>13.</w:t>
            </w: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ab/>
              <w:t>Solución de Controversias</w:t>
            </w:r>
            <w:bookmarkEnd w:id="12"/>
          </w:p>
        </w:tc>
        <w:tc>
          <w:tcPr>
            <w:tcW w:w="5692" w:type="dxa"/>
          </w:tcPr>
          <w:p w:rsidR="004C7F74" w:rsidRPr="00476FA1" w:rsidRDefault="00476FA1" w:rsidP="00476FA1">
            <w:pPr>
              <w:tabs>
                <w:tab w:val="left" w:pos="-720"/>
              </w:tabs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Toda controversia que surja de este Contrato y que las Partes no puedan solucionar en forma amigable deberá someterse a proceso judicial/arbitraje conforme a la ley del país del Contratante.</w:t>
            </w:r>
          </w:p>
        </w:tc>
      </w:tr>
      <w:tr w:rsidR="00476FA1" w:rsidRPr="00C674CF" w:rsidTr="000E4286">
        <w:trPr>
          <w:trHeight w:val="6137"/>
        </w:trPr>
        <w:tc>
          <w:tcPr>
            <w:tcW w:w="3236" w:type="dxa"/>
          </w:tcPr>
          <w:p w:rsidR="00476FA1" w:rsidRPr="00476FA1" w:rsidRDefault="00476FA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14. Rescisión</w:t>
            </w:r>
          </w:p>
        </w:tc>
        <w:tc>
          <w:tcPr>
            <w:tcW w:w="5692" w:type="dxa"/>
          </w:tcPr>
          <w:p w:rsidR="00476FA1" w:rsidRPr="00476FA1" w:rsidRDefault="00476FA1" w:rsidP="00476FA1">
            <w:pPr>
              <w:spacing w:after="200"/>
              <w:ind w:righ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El Contratante podrá dar por terminado este Contrato si sucede cualquiera de los eventos especificados en los párrafos (a) al (d) de esta </w:t>
            </w:r>
            <w:r w:rsidR="00780BD1"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su cláusula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. En dicha circunstancia, el Contratante  enviará una notifica</w:t>
            </w:r>
            <w:r w:rsidR="004B101F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ción de rescisión por escrito a El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4B10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por lo menos con</w:t>
            </w:r>
            <w:r w:rsidR="00CD037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15 días </w:t>
            </w:r>
            <w:r w:rsidRPr="00A8042A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de anticipación a la fecha de terminación:</w:t>
            </w:r>
          </w:p>
          <w:p w:rsidR="00476FA1" w:rsidRPr="00476FA1" w:rsidRDefault="00476FA1" w:rsidP="00476FA1">
            <w:pPr>
              <w:spacing w:after="200"/>
              <w:ind w:left="540" w:right="-7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(a)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ab/>
              <w:t xml:space="preserve">Si </w:t>
            </w:r>
            <w:r w:rsidR="004B101F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El Consultor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no subsanara el incumplimiento de sus obligaciones en virtud de este Contrato, dentro de </w:t>
            </w:r>
            <w:r w:rsidRPr="00A8042A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los</w:t>
            </w:r>
            <w:r w:rsidR="00CD037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5 días </w:t>
            </w:r>
            <w:r w:rsidRPr="00A8042A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siguientes de haber sido notificado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o dentro de otro plazo mayor que el Contratante pudiera haber aceptado posteriormente por escrito;</w:t>
            </w:r>
          </w:p>
          <w:p w:rsidR="00476FA1" w:rsidRPr="00476FA1" w:rsidRDefault="00476FA1" w:rsidP="00476FA1">
            <w:pPr>
              <w:spacing w:after="200"/>
              <w:ind w:left="540" w:right="-7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(b)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ab/>
              <w:t xml:space="preserve">Si </w:t>
            </w:r>
            <w:r w:rsidR="004B101F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El Consultor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llegara a declararse insolvente o fuera declarado en quiebra. </w:t>
            </w:r>
          </w:p>
          <w:p w:rsidR="00476FA1" w:rsidRPr="00476FA1" w:rsidRDefault="00476FA1" w:rsidP="00476FA1">
            <w:pPr>
              <w:spacing w:after="200"/>
              <w:ind w:left="540" w:right="-7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(c)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ab/>
              <w:t xml:space="preserve">Si el Contratante determina que </w:t>
            </w:r>
            <w:r w:rsidR="004B101F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El Consultor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ha participado en </w:t>
            </w:r>
            <w:r w:rsidR="00E33B1C"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prácticas </w:t>
            </w:r>
            <w:r w:rsidR="00E33B1C"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  <w:t>corruptas, fraudulentas, coercitivas, de colusión</w:t>
            </w:r>
            <w:r w:rsidR="00E33B1C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u o</w:t>
            </w:r>
            <w:r w:rsidR="00E33B1C"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bstructivas</w:t>
            </w:r>
            <w:r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durante la competencia o la ejecución del contrato.</w:t>
            </w:r>
          </w:p>
          <w:p w:rsidR="00476FA1" w:rsidRPr="009D5411" w:rsidRDefault="009D5411" w:rsidP="009D5411">
            <w:pPr>
              <w:tabs>
                <w:tab w:val="left" w:pos="-720"/>
              </w:tabs>
              <w:suppressAutoHyphens/>
              <w:spacing w:after="200"/>
              <w:ind w:left="522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(d) </w:t>
            </w:r>
            <w:r w:rsidR="00476FA1"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Si el Contrata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nte, a su sola discreción y por  </w:t>
            </w:r>
            <w:r w:rsidR="00476FA1" w:rsidRPr="00476FA1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cualquier razón, decidiera rescindir este Contrato.</w:t>
            </w:r>
          </w:p>
        </w:tc>
      </w:tr>
      <w:tr w:rsidR="009D5411" w:rsidRPr="00C674CF" w:rsidTr="000E4286">
        <w:trPr>
          <w:trHeight w:val="3293"/>
        </w:trPr>
        <w:tc>
          <w:tcPr>
            <w:tcW w:w="3236" w:type="dxa"/>
          </w:tcPr>
          <w:p w:rsidR="009D5411" w:rsidRDefault="009D5411" w:rsidP="009D5411">
            <w:pPr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  <w:t>15.  Fraude y Corrupción</w:t>
            </w:r>
          </w:p>
          <w:p w:rsidR="009D5411" w:rsidRPr="00476FA1" w:rsidRDefault="009D5411" w:rsidP="00476FA1">
            <w:pPr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692" w:type="dxa"/>
          </w:tcPr>
          <w:p w:rsidR="009D5411" w:rsidRPr="009D5411" w:rsidRDefault="00C674CF" w:rsidP="009D5411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C674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Para esta cláusula el consultor se regirá a las políticas del Banco Mundial (el Banco) de acuerdo al Anexo II que forma parte de este contrato.</w:t>
            </w:r>
            <w:bookmarkStart w:id="13" w:name="_GoBack"/>
            <w:bookmarkEnd w:id="13"/>
          </w:p>
        </w:tc>
      </w:tr>
    </w:tbl>
    <w:p w:rsidR="00476FA1" w:rsidRPr="00476FA1" w:rsidRDefault="00476FA1" w:rsidP="00476FA1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608"/>
      </w:tblGrid>
      <w:tr w:rsidR="00476FA1" w:rsidRPr="008F0FC8" w:rsidTr="002400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POR EL CONTRATANTE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76FA1" w:rsidRPr="00476FA1" w:rsidRDefault="00476FA1" w:rsidP="004B101F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POR EL </w:t>
            </w:r>
            <w:r w:rsidR="004B10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CONSULTOR</w:t>
            </w:r>
          </w:p>
        </w:tc>
      </w:tr>
      <w:tr w:rsidR="00476FA1" w:rsidRPr="00476FA1" w:rsidTr="002400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  <w:p w:rsidR="00476FA1" w:rsidRPr="00476FA1" w:rsidRDefault="00476FA1" w:rsidP="00476FA1">
            <w:pPr>
              <w:tabs>
                <w:tab w:val="left" w:pos="-720"/>
                <w:tab w:val="right" w:pos="41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Firmado por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ab/>
            </w:r>
          </w:p>
          <w:p w:rsidR="00476FA1" w:rsidRPr="00476FA1" w:rsidRDefault="00476FA1" w:rsidP="00476FA1">
            <w:pPr>
              <w:tabs>
                <w:tab w:val="left" w:pos="-720"/>
                <w:tab w:val="right" w:pos="4140"/>
              </w:tabs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Cargo: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ab/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  <w:p w:rsidR="00476FA1" w:rsidRPr="00476FA1" w:rsidRDefault="00476FA1" w:rsidP="00476FA1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  <w:p w:rsidR="00476FA1" w:rsidRPr="00476FA1" w:rsidRDefault="00476FA1" w:rsidP="00476FA1">
            <w:pPr>
              <w:tabs>
                <w:tab w:val="left" w:pos="-720"/>
                <w:tab w:val="right" w:pos="41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Firmado por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ab/>
            </w:r>
          </w:p>
          <w:p w:rsidR="00476FA1" w:rsidRPr="00476FA1" w:rsidRDefault="00476FA1" w:rsidP="00476FA1">
            <w:pPr>
              <w:tabs>
                <w:tab w:val="left" w:pos="-720"/>
                <w:tab w:val="right" w:pos="4212"/>
              </w:tabs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Cargo: </w:t>
            </w:r>
            <w:r w:rsidRPr="00476F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es-ES_tradnl"/>
              </w:rPr>
              <w:tab/>
            </w:r>
          </w:p>
        </w:tc>
      </w:tr>
    </w:tbl>
    <w:p w:rsidR="00745BB8" w:rsidRPr="00D61161" w:rsidRDefault="00745BB8" w:rsidP="002322B5">
      <w:pPr>
        <w:rPr>
          <w:lang w:val="es-CR"/>
        </w:rPr>
      </w:pPr>
    </w:p>
    <w:sectPr w:rsidR="00745BB8" w:rsidRPr="00D61161" w:rsidSect="00896D7F">
      <w:headerReference w:type="firs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B3" w:rsidRDefault="006A71B3" w:rsidP="00476FA1">
      <w:pPr>
        <w:spacing w:after="0" w:line="240" w:lineRule="auto"/>
      </w:pPr>
      <w:r>
        <w:separator/>
      </w:r>
    </w:p>
  </w:endnote>
  <w:endnote w:type="continuationSeparator" w:id="0">
    <w:p w:rsidR="006A71B3" w:rsidRDefault="006A71B3" w:rsidP="0047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B3" w:rsidRDefault="006A71B3" w:rsidP="00476FA1">
      <w:pPr>
        <w:spacing w:after="0" w:line="240" w:lineRule="auto"/>
      </w:pPr>
      <w:r>
        <w:separator/>
      </w:r>
    </w:p>
  </w:footnote>
  <w:footnote w:type="continuationSeparator" w:id="0">
    <w:p w:rsidR="006A71B3" w:rsidRDefault="006A71B3" w:rsidP="00476FA1">
      <w:pPr>
        <w:spacing w:after="0" w:line="240" w:lineRule="auto"/>
      </w:pPr>
      <w:r>
        <w:continuationSeparator/>
      </w:r>
    </w:p>
  </w:footnote>
  <w:footnote w:id="1">
    <w:p w:rsidR="00476FA1" w:rsidRPr="00B70126" w:rsidRDefault="00476FA1" w:rsidP="00476FA1">
      <w:pPr>
        <w:pStyle w:val="Textonotapie"/>
        <w:tabs>
          <w:tab w:val="left" w:pos="360"/>
        </w:tabs>
        <w:ind w:left="360" w:hanging="360"/>
        <w:rPr>
          <w:lang w:val="es-GT"/>
        </w:rPr>
      </w:pPr>
      <w:r w:rsidRPr="00B70126">
        <w:rPr>
          <w:rStyle w:val="Refdenotaalpie"/>
          <w:lang w:val="es-GT"/>
        </w:rPr>
        <w:t>2</w:t>
      </w:r>
      <w:r w:rsidRPr="00B70126">
        <w:rPr>
          <w:sz w:val="18"/>
          <w:lang w:val="es-GT"/>
        </w:rPr>
        <w:tab/>
      </w:r>
      <w:r w:rsidRPr="00B70126">
        <w:rPr>
          <w:spacing w:val="-2"/>
          <w:sz w:val="18"/>
          <w:lang w:val="es-GT"/>
        </w:rPr>
        <w:t>Si hubiera</w:t>
      </w:r>
      <w:r w:rsidR="002F199A">
        <w:rPr>
          <w:spacing w:val="-2"/>
          <w:sz w:val="18"/>
          <w:lang w:val="es-GT"/>
        </w:rPr>
        <w:t xml:space="preserve"> </w:t>
      </w:r>
      <w:r w:rsidRPr="00B70126">
        <w:rPr>
          <w:spacing w:val="-2"/>
          <w:sz w:val="18"/>
          <w:lang w:val="es-GT"/>
        </w:rPr>
        <w:t>alguna</w:t>
      </w:r>
      <w:r w:rsidR="002F199A">
        <w:rPr>
          <w:spacing w:val="-2"/>
          <w:sz w:val="18"/>
          <w:lang w:val="es-GT"/>
        </w:rPr>
        <w:t xml:space="preserve"> </w:t>
      </w:r>
      <w:r w:rsidRPr="00B70126">
        <w:rPr>
          <w:spacing w:val="-2"/>
          <w:sz w:val="18"/>
          <w:lang w:val="es-GT"/>
        </w:rPr>
        <w:t>restricción con respecto al uso de estos</w:t>
      </w:r>
      <w:r w:rsidR="002F199A">
        <w:rPr>
          <w:spacing w:val="-2"/>
          <w:sz w:val="18"/>
          <w:lang w:val="es-GT"/>
        </w:rPr>
        <w:t xml:space="preserve"> </w:t>
      </w:r>
      <w:r w:rsidRPr="00B70126">
        <w:rPr>
          <w:spacing w:val="-2"/>
          <w:sz w:val="18"/>
          <w:lang w:val="es-GT"/>
        </w:rPr>
        <w:t>documentos y programas de computación</w:t>
      </w:r>
      <w:r w:rsidR="002F199A">
        <w:rPr>
          <w:spacing w:val="-2"/>
          <w:sz w:val="18"/>
          <w:lang w:val="es-GT"/>
        </w:rPr>
        <w:t xml:space="preserve"> </w:t>
      </w:r>
      <w:r w:rsidRPr="00B70126">
        <w:rPr>
          <w:spacing w:val="-2"/>
          <w:sz w:val="18"/>
          <w:lang w:val="es-GT"/>
        </w:rPr>
        <w:t>en el futuro, ésta se deberá</w:t>
      </w:r>
      <w:r w:rsidR="002F199A">
        <w:rPr>
          <w:spacing w:val="-2"/>
          <w:sz w:val="18"/>
          <w:lang w:val="es-GT"/>
        </w:rPr>
        <w:t xml:space="preserve"> </w:t>
      </w:r>
      <w:r w:rsidRPr="00B70126">
        <w:rPr>
          <w:spacing w:val="-2"/>
          <w:sz w:val="18"/>
          <w:lang w:val="es-GT"/>
        </w:rPr>
        <w:t>indicar al final del párrafo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93" w:rsidRDefault="00476FA1">
    <w:pPr>
      <w:pStyle w:val="Encabezado"/>
      <w:pBdr>
        <w:bottom w:val="single" w:sz="6" w:space="1" w:color="auto"/>
      </w:pBdr>
    </w:pPr>
    <w:r>
      <w:tab/>
    </w:r>
    <w:r w:rsidR="002433B1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2433B1">
      <w:rPr>
        <w:rStyle w:val="Nmerodepgina"/>
      </w:rPr>
      <w:fldChar w:fldCharType="separate"/>
    </w:r>
    <w:r>
      <w:rPr>
        <w:rStyle w:val="Nmerodepgina"/>
        <w:noProof/>
      </w:rPr>
      <w:t>160</w:t>
    </w:r>
    <w:r w:rsidR="002433B1"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B4099"/>
    <w:multiLevelType w:val="hybridMultilevel"/>
    <w:tmpl w:val="CFDA75B6"/>
    <w:lvl w:ilvl="0" w:tplc="FD40190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9520BA8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0E49D6"/>
    <w:multiLevelType w:val="hybridMultilevel"/>
    <w:tmpl w:val="1FE4EA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54CD6"/>
    <w:multiLevelType w:val="hybridMultilevel"/>
    <w:tmpl w:val="C828311C"/>
    <w:lvl w:ilvl="0" w:tplc="996E84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A1"/>
    <w:rsid w:val="00021A91"/>
    <w:rsid w:val="00026853"/>
    <w:rsid w:val="000359DF"/>
    <w:rsid w:val="0007168B"/>
    <w:rsid w:val="000C3F33"/>
    <w:rsid w:val="000E4286"/>
    <w:rsid w:val="000F1152"/>
    <w:rsid w:val="000F26CC"/>
    <w:rsid w:val="001030E4"/>
    <w:rsid w:val="0012435F"/>
    <w:rsid w:val="0015337A"/>
    <w:rsid w:val="0017711D"/>
    <w:rsid w:val="00181DF6"/>
    <w:rsid w:val="00185144"/>
    <w:rsid w:val="0019490F"/>
    <w:rsid w:val="00194C69"/>
    <w:rsid w:val="001A7DD5"/>
    <w:rsid w:val="001C2FB5"/>
    <w:rsid w:val="001F6344"/>
    <w:rsid w:val="00202208"/>
    <w:rsid w:val="00222AEB"/>
    <w:rsid w:val="002322B5"/>
    <w:rsid w:val="00240093"/>
    <w:rsid w:val="002433B1"/>
    <w:rsid w:val="00280939"/>
    <w:rsid w:val="002F199A"/>
    <w:rsid w:val="00332C00"/>
    <w:rsid w:val="00343247"/>
    <w:rsid w:val="003E09AB"/>
    <w:rsid w:val="00476FA1"/>
    <w:rsid w:val="00482350"/>
    <w:rsid w:val="004B101F"/>
    <w:rsid w:val="004C7F74"/>
    <w:rsid w:val="004D3ECB"/>
    <w:rsid w:val="004F6164"/>
    <w:rsid w:val="00511799"/>
    <w:rsid w:val="00561303"/>
    <w:rsid w:val="00577223"/>
    <w:rsid w:val="005A50D2"/>
    <w:rsid w:val="005C752C"/>
    <w:rsid w:val="005C75AF"/>
    <w:rsid w:val="005D3256"/>
    <w:rsid w:val="005E00DB"/>
    <w:rsid w:val="006A71B3"/>
    <w:rsid w:val="00711FE5"/>
    <w:rsid w:val="007166E0"/>
    <w:rsid w:val="00745BB8"/>
    <w:rsid w:val="00755DA4"/>
    <w:rsid w:val="00771203"/>
    <w:rsid w:val="00780BD1"/>
    <w:rsid w:val="00782BBD"/>
    <w:rsid w:val="007A70CC"/>
    <w:rsid w:val="007B5AF9"/>
    <w:rsid w:val="007F4592"/>
    <w:rsid w:val="008650C0"/>
    <w:rsid w:val="00882D82"/>
    <w:rsid w:val="008904FF"/>
    <w:rsid w:val="00896D7F"/>
    <w:rsid w:val="008A0A6D"/>
    <w:rsid w:val="008D3A41"/>
    <w:rsid w:val="008F0FC8"/>
    <w:rsid w:val="009046A7"/>
    <w:rsid w:val="00970EAE"/>
    <w:rsid w:val="00985764"/>
    <w:rsid w:val="009A2ACF"/>
    <w:rsid w:val="009D5411"/>
    <w:rsid w:val="009F73E8"/>
    <w:rsid w:val="00A02233"/>
    <w:rsid w:val="00A8020D"/>
    <w:rsid w:val="00A8042A"/>
    <w:rsid w:val="00A822B5"/>
    <w:rsid w:val="00A97B7D"/>
    <w:rsid w:val="00AB0484"/>
    <w:rsid w:val="00AC0147"/>
    <w:rsid w:val="00B03641"/>
    <w:rsid w:val="00B064C8"/>
    <w:rsid w:val="00B07DD0"/>
    <w:rsid w:val="00B10745"/>
    <w:rsid w:val="00B70126"/>
    <w:rsid w:val="00BA2920"/>
    <w:rsid w:val="00BB2B0E"/>
    <w:rsid w:val="00BE3FA6"/>
    <w:rsid w:val="00C10E43"/>
    <w:rsid w:val="00C17412"/>
    <w:rsid w:val="00C3780D"/>
    <w:rsid w:val="00C40802"/>
    <w:rsid w:val="00C674CF"/>
    <w:rsid w:val="00CC55AA"/>
    <w:rsid w:val="00CD0375"/>
    <w:rsid w:val="00D22C79"/>
    <w:rsid w:val="00D61161"/>
    <w:rsid w:val="00D6146C"/>
    <w:rsid w:val="00D63728"/>
    <w:rsid w:val="00D92A82"/>
    <w:rsid w:val="00DA36A6"/>
    <w:rsid w:val="00DF1012"/>
    <w:rsid w:val="00DF13BE"/>
    <w:rsid w:val="00E2419F"/>
    <w:rsid w:val="00E32225"/>
    <w:rsid w:val="00E33B1C"/>
    <w:rsid w:val="00E43391"/>
    <w:rsid w:val="00E548B8"/>
    <w:rsid w:val="00E77D5F"/>
    <w:rsid w:val="00ED2D51"/>
    <w:rsid w:val="00ED3852"/>
    <w:rsid w:val="00EF7C2E"/>
    <w:rsid w:val="00F070DA"/>
    <w:rsid w:val="00F11B29"/>
    <w:rsid w:val="00F6119E"/>
    <w:rsid w:val="00F839AE"/>
    <w:rsid w:val="00F8736F"/>
    <w:rsid w:val="00FA2A90"/>
    <w:rsid w:val="00FA6D27"/>
    <w:rsid w:val="00FB6995"/>
    <w:rsid w:val="00FF241E"/>
    <w:rsid w:val="00FF69B9"/>
    <w:rsid w:val="00F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BB533-19D4-4A52-8B1D-40C27699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6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FA1"/>
  </w:style>
  <w:style w:type="paragraph" w:styleId="Textonotapie">
    <w:name w:val="footnote text"/>
    <w:basedOn w:val="Normal"/>
    <w:link w:val="TextonotapieCar"/>
    <w:uiPriority w:val="99"/>
    <w:semiHidden/>
    <w:unhideWhenUsed/>
    <w:rsid w:val="00476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6FA1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76FA1"/>
    <w:rPr>
      <w:vertAlign w:val="superscript"/>
    </w:rPr>
  </w:style>
  <w:style w:type="character" w:styleId="Nmerodepgina">
    <w:name w:val="page number"/>
    <w:basedOn w:val="Fuentedeprrafopredeter"/>
    <w:rsid w:val="00476FA1"/>
  </w:style>
  <w:style w:type="paragraph" w:styleId="Prrafodelista">
    <w:name w:val="List Paragraph"/>
    <w:aliases w:val="List Bullet Mary,Numbered List Paragraph,Bullet paras,Heading 1.1,List Paragraph (numbered (a)),Use Case List Paragraph,Bullets,ANNEX,List Paragraph2,List Paragraph Char Char Char,Main numbered paragraph,References,Heading 1,1"/>
    <w:basedOn w:val="Normal"/>
    <w:link w:val="PrrafodelistaCar"/>
    <w:uiPriority w:val="34"/>
    <w:qFormat/>
    <w:rsid w:val="00D6116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List Bullet Mary Car,Numbered List Paragraph Car,Bullet paras Car,Heading 1.1 Car,List Paragraph (numbered (a)) Car,Use Case List Paragraph Car,Bullets Car,ANNEX Car,List Paragraph2 Car,List Paragraph Char Char Char Car,1 Car"/>
    <w:link w:val="Prrafodelista"/>
    <w:uiPriority w:val="34"/>
    <w:locked/>
    <w:rsid w:val="00D6116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0E428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0E42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542F-8BDF-466B-8153-4288424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1083</Words>
  <Characters>5959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Lehnhoff</dc:creator>
  <cp:keywords/>
  <dc:description/>
  <cp:lastModifiedBy>Suyen</cp:lastModifiedBy>
  <cp:revision>26</cp:revision>
  <cp:lastPrinted>2017-11-16T21:46:00Z</cp:lastPrinted>
  <dcterms:created xsi:type="dcterms:W3CDTF">2017-08-14T22:48:00Z</dcterms:created>
  <dcterms:modified xsi:type="dcterms:W3CDTF">2019-06-07T19:03:00Z</dcterms:modified>
</cp:coreProperties>
</file>